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BF7">
        <w:rPr>
          <w:rFonts w:ascii="MS Shell Dlg 2" w:hAnsi="MS Shell Dlg 2" w:cs="MS Shell Dlg 2"/>
          <w:noProof/>
          <w:sz w:val="40"/>
          <w:szCs w:val="40"/>
          <w:u w:val="single"/>
        </w:rPr>
        <w:t>Addition</w:t>
      </w:r>
      <w:r w:rsidR="0088743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– Complément en fines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>Labo Béton</w:t>
      </w:r>
      <w:r w:rsidR="00C91564">
        <w:t xml:space="preserve">  version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D21AE2" w:rsidRDefault="00D21AE2" w:rsidP="00D21AE2">
      <w:r>
        <w:rPr>
          <w:noProof/>
        </w:rPr>
        <w:drawing>
          <wp:inline distT="0" distB="0" distL="0" distR="0">
            <wp:extent cx="1800225" cy="219075"/>
            <wp:effectExtent l="0" t="0" r="9525" b="9525"/>
            <wp:docPr id="149" name="Imag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504"/>
                    <a:stretch/>
                  </pic:blipFill>
                  <pic:spPr bwMode="auto">
                    <a:xfrm>
                      <a:off x="0" y="0"/>
                      <a:ext cx="1800225" cy="219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1AE2" w:rsidRDefault="00D21AE2" w:rsidP="00D21AE2">
      <w:pPr>
        <w:rPr>
          <w:b/>
          <w:bCs/>
          <w:color w:val="4F81BD" w:themeColor="accent1"/>
          <w:sz w:val="18"/>
          <w:szCs w:val="18"/>
        </w:rPr>
      </w:pPr>
      <w:r>
        <w:t xml:space="preserve">L’addition peut venir </w:t>
      </w:r>
      <w:r w:rsidRPr="00A72D11">
        <w:rPr>
          <w:b/>
          <w:u w:val="single"/>
        </w:rPr>
        <w:t>uniquement</w:t>
      </w:r>
      <w:r>
        <w:t xml:space="preserve"> en complément de fines pour atteindre le volume optimal préconisé par la méthode de formulation et ainsi avoir une solution béton la plus compacte possible.</w:t>
      </w:r>
      <w:r w:rsidRPr="009303A7">
        <w:t xml:space="preserve"> </w:t>
      </w:r>
      <w:r>
        <w:t>Il vous suffit de cocher l’item « En complément des fines » (image ci-dessus).</w:t>
      </w:r>
    </w:p>
    <w:p w:rsidR="00D21AE2" w:rsidRDefault="00D21AE2" w:rsidP="00D21AE2">
      <w:pPr>
        <w:spacing w:before="240"/>
      </w:pPr>
      <w:r>
        <w:t>Dans ce cas, il n’est pas recherché l’action hydraulique de l’addition et il en découle trois conséquences :</w:t>
      </w:r>
    </w:p>
    <w:p w:rsidR="00D21AE2" w:rsidRDefault="00D21AE2" w:rsidP="00D21AE2">
      <w:pPr>
        <w:pStyle w:val="Paragraphedeliste"/>
        <w:numPr>
          <w:ilvl w:val="0"/>
          <w:numId w:val="26"/>
        </w:numPr>
        <w:jc w:val="both"/>
      </w:pPr>
      <w:r>
        <w:t>La teneur en liant est calculée uniquement sur la quantité de ciment</w:t>
      </w:r>
    </w:p>
    <w:p w:rsidR="00D21AE2" w:rsidRDefault="00D21AE2" w:rsidP="00D21AE2">
      <w:pPr>
        <w:pStyle w:val="Paragraphedeliste"/>
        <w:numPr>
          <w:ilvl w:val="0"/>
          <w:numId w:val="26"/>
        </w:numPr>
        <w:jc w:val="both"/>
      </w:pPr>
      <w:r>
        <w:t>La limitation de la quantité d’addition par rapport au ciment imposée par l’EN206-1 n’est pas vérifiée.</w:t>
      </w:r>
    </w:p>
    <w:p w:rsidR="00D21AE2" w:rsidRDefault="00D21AE2" w:rsidP="00D21AE2">
      <w:pPr>
        <w:pStyle w:val="Paragraphedeliste"/>
        <w:numPr>
          <w:ilvl w:val="0"/>
          <w:numId w:val="26"/>
        </w:numPr>
        <w:jc w:val="both"/>
      </w:pPr>
      <w:r>
        <w:t>Le rapport E/C ne prend en compte que la quantité de ciment.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88743B">
        <w:t>1</w:t>
      </w:r>
      <w:r w:rsidR="00D21AE2">
        <w:t>7</w:t>
      </w:r>
      <w:bookmarkStart w:id="0" w:name="_GoBack"/>
      <w:bookmarkEnd w:id="0"/>
      <w:r w:rsidR="0088743B">
        <w:t xml:space="preserve"> juillet</w:t>
      </w:r>
      <w:r w:rsidR="00C163E6">
        <w:t xml:space="preserve"> </w:t>
      </w:r>
      <w:r w:rsidR="00BD179B">
        <w:t>202</w:t>
      </w:r>
      <w:r w:rsidR="00DB6FB5">
        <w:t>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88743B" w:rsidRDefault="00513B6C" w:rsidP="00851522">
      <w:pPr>
        <w:pStyle w:val="Paragraphedeliste"/>
        <w:numPr>
          <w:ilvl w:val="0"/>
          <w:numId w:val="1"/>
        </w:numPr>
        <w:spacing w:line="240" w:lineRule="auto"/>
      </w:pPr>
      <w:r>
        <w:t>« </w:t>
      </w:r>
      <w:r w:rsidR="00FE3BF7" w:rsidRPr="00DA113E">
        <w:t>Les bétons – Bases et données pour leur formulation » écrit sous la direction de Jacques Baron et Jean-pierre Ollivier et paru aux Editions Eyrolles</w:t>
      </w:r>
      <w:r w:rsidR="00FE3BF7">
        <w:t xml:space="preserve"> 1996.</w:t>
      </w:r>
    </w:p>
    <w:p w:rsidR="00A92EEB" w:rsidRDefault="0088743B" w:rsidP="00851522">
      <w:pPr>
        <w:pStyle w:val="Paragraphedeliste"/>
        <w:numPr>
          <w:ilvl w:val="0"/>
          <w:numId w:val="1"/>
        </w:numPr>
        <w:spacing w:line="240" w:lineRule="auto"/>
      </w:pPr>
      <w:r>
        <w:t>« Le matériau béton : Connaissances générales » - Collection Les cours de l’ENTPE – G. Chanvillard - Edition ENTPE ALEAS 1999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C1F3FD5"/>
    <w:multiLevelType w:val="hybridMultilevel"/>
    <w:tmpl w:val="36EA2920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80938"/>
    <w:multiLevelType w:val="hybridMultilevel"/>
    <w:tmpl w:val="5CCA4DDE"/>
    <w:lvl w:ilvl="0" w:tplc="040C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E724B33"/>
    <w:multiLevelType w:val="hybridMultilevel"/>
    <w:tmpl w:val="38488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C1CA8"/>
    <w:multiLevelType w:val="hybridMultilevel"/>
    <w:tmpl w:val="2ACC27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6116D"/>
    <w:multiLevelType w:val="hybridMultilevel"/>
    <w:tmpl w:val="776A9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159FC"/>
    <w:multiLevelType w:val="hybridMultilevel"/>
    <w:tmpl w:val="AB32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12"/>
  </w:num>
  <w:num w:numId="8">
    <w:abstractNumId w:val="20"/>
  </w:num>
  <w:num w:numId="9">
    <w:abstractNumId w:val="5"/>
  </w:num>
  <w:num w:numId="10">
    <w:abstractNumId w:val="10"/>
  </w:num>
  <w:num w:numId="11">
    <w:abstractNumId w:val="11"/>
  </w:num>
  <w:num w:numId="12">
    <w:abstractNumId w:val="16"/>
  </w:num>
  <w:num w:numId="13">
    <w:abstractNumId w:val="21"/>
  </w:num>
  <w:num w:numId="14">
    <w:abstractNumId w:val="22"/>
  </w:num>
  <w:num w:numId="15">
    <w:abstractNumId w:val="23"/>
  </w:num>
  <w:num w:numId="16">
    <w:abstractNumId w:val="4"/>
  </w:num>
  <w:num w:numId="17">
    <w:abstractNumId w:val="3"/>
  </w:num>
  <w:num w:numId="18">
    <w:abstractNumId w:val="18"/>
  </w:num>
  <w:num w:numId="19">
    <w:abstractNumId w:val="17"/>
  </w:num>
  <w:num w:numId="20">
    <w:abstractNumId w:val="9"/>
  </w:num>
  <w:num w:numId="21">
    <w:abstractNumId w:val="19"/>
  </w:num>
  <w:num w:numId="22">
    <w:abstractNumId w:val="14"/>
  </w:num>
  <w:num w:numId="23">
    <w:abstractNumId w:val="15"/>
  </w:num>
  <w:num w:numId="24">
    <w:abstractNumId w:val="24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E7267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8743B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21AE2"/>
    <w:rsid w:val="00D447BA"/>
    <w:rsid w:val="00D54688"/>
    <w:rsid w:val="00D7202E"/>
    <w:rsid w:val="00D7782D"/>
    <w:rsid w:val="00D8287A"/>
    <w:rsid w:val="00DB6FB5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  <w:rsid w:val="00FE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B07DD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88743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88743B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13</cp:revision>
  <dcterms:created xsi:type="dcterms:W3CDTF">2025-11-16T14:41:00Z</dcterms:created>
  <dcterms:modified xsi:type="dcterms:W3CDTF">2026-07-17T08:27:00Z</dcterms:modified>
</cp:coreProperties>
</file>